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E4" w:rsidRPr="00FF08E4" w:rsidRDefault="00FF08E4" w:rsidP="00FF08E4">
      <w:pPr>
        <w:spacing w:after="120"/>
        <w:outlineLvl w:val="0"/>
        <w:rPr>
          <w:rFonts w:eastAsia="Times New Roman" w:cs="Times New Roman"/>
          <w:b/>
          <w:bCs/>
          <w:kern w:val="36"/>
          <w:sz w:val="28"/>
          <w:szCs w:val="28"/>
          <w:lang w:eastAsia="en-GB" w:bidi="bn-BD"/>
        </w:rPr>
      </w:pPr>
      <w:proofErr w:type="gramStart"/>
      <w:r w:rsidRPr="00FF08E4">
        <w:rPr>
          <w:rFonts w:eastAsia="Times New Roman" w:cs="Times New Roman"/>
          <w:b/>
          <w:bCs/>
          <w:kern w:val="36"/>
          <w:sz w:val="28"/>
          <w:szCs w:val="28"/>
          <w:lang w:eastAsia="en-GB" w:bidi="bn-BD"/>
        </w:rPr>
        <w:t>WHO</w:t>
      </w:r>
      <w:proofErr w:type="gramEnd"/>
      <w:r w:rsidRPr="00FF08E4">
        <w:rPr>
          <w:rFonts w:eastAsia="Times New Roman" w:cs="Times New Roman"/>
          <w:b/>
          <w:bCs/>
          <w:kern w:val="36"/>
          <w:sz w:val="28"/>
          <w:szCs w:val="28"/>
          <w:lang w:eastAsia="en-GB" w:bidi="bn-BD"/>
        </w:rPr>
        <w:t xml:space="preserve"> Guidance – Translation of Survey Instruments</w:t>
      </w:r>
    </w:p>
    <w:p w:rsidR="00FF08E4" w:rsidRPr="00FF08E4" w:rsidRDefault="00FF08E4" w:rsidP="00FF08E4">
      <w:pPr>
        <w:spacing w:after="120"/>
        <w:outlineLvl w:val="0"/>
        <w:rPr>
          <w:rFonts w:eastAsia="Times New Roman" w:cs="Times New Roman"/>
          <w:b/>
          <w:bCs/>
          <w:kern w:val="36"/>
          <w:lang w:eastAsia="en-GB" w:bidi="bn-BD"/>
        </w:rPr>
      </w:pPr>
      <w:hyperlink r:id="rId5" w:history="1">
        <w:r w:rsidRPr="00FF08E4">
          <w:rPr>
            <w:rStyle w:val="Hyperlink"/>
            <w:rFonts w:eastAsia="Times New Roman" w:cs="Times New Roman"/>
            <w:b/>
            <w:bCs/>
            <w:kern w:val="36"/>
            <w:lang w:eastAsia="en-GB" w:bidi="bn-BD"/>
          </w:rPr>
          <w:t>http://www.who.int/substance_abuse/research_tools/translation/en/</w:t>
        </w:r>
      </w:hyperlink>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The aim of this process is to achieve different language versions of the English instrument that are conceptually equivalent in each of the target countries/cultures. That is, the instrument should be equally natural and acceptable and should practically perform in the same way. The focus is on cross-cultural and conceptual, rather than on linguistic/literal equivalence. A well-established method to achieve this goal is to use forward-translations and back-translations. This method has been refined in the course of several WHO studies to result in the following guidelines.</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Implementation of this method includes the following steps:</w:t>
      </w:r>
    </w:p>
    <w:p w:rsidR="00FF08E4" w:rsidRPr="00FF08E4" w:rsidRDefault="00FF08E4" w:rsidP="00FF08E4">
      <w:pPr>
        <w:numPr>
          <w:ilvl w:val="0"/>
          <w:numId w:val="1"/>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Forward translation</w:t>
      </w:r>
    </w:p>
    <w:p w:rsidR="00FF08E4" w:rsidRPr="00FF08E4" w:rsidRDefault="00FF08E4" w:rsidP="00FF08E4">
      <w:pPr>
        <w:numPr>
          <w:ilvl w:val="0"/>
          <w:numId w:val="1"/>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Expert panel Back-translation</w:t>
      </w:r>
    </w:p>
    <w:p w:rsidR="00FF08E4" w:rsidRPr="00FF08E4" w:rsidRDefault="00FF08E4" w:rsidP="00FF08E4">
      <w:pPr>
        <w:numPr>
          <w:ilvl w:val="0"/>
          <w:numId w:val="1"/>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Pre-testing and cognitive interviewing</w:t>
      </w:r>
    </w:p>
    <w:p w:rsidR="00FF08E4" w:rsidRPr="00FF08E4" w:rsidRDefault="00FF08E4" w:rsidP="00FF08E4">
      <w:pPr>
        <w:numPr>
          <w:ilvl w:val="0"/>
          <w:numId w:val="1"/>
        </w:numPr>
        <w:spacing w:after="120"/>
        <w:rPr>
          <w:rFonts w:eastAsia="Times New Roman" w:cs="Times New Roman"/>
          <w:lang w:eastAsia="en-GB" w:bidi="bn-BD"/>
        </w:rPr>
      </w:pPr>
      <w:r w:rsidRPr="00FF08E4">
        <w:rPr>
          <w:rFonts w:eastAsia="Times New Roman" w:cs="Times New Roman"/>
          <w:lang w:eastAsia="en-GB" w:bidi="bn-BD"/>
        </w:rPr>
        <w:t>Final version</w:t>
      </w: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t>1. Forward translation</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One translator, preferably a health professional, familiar with terminology of the area covered by the instrument and with interview skills should be given this task. The translator should be knowledgeable of the English-speaking culture but his/her mother tongue should be the primary language of the target culture.</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Instructions should be given in the approach to translating, emphasizing conceptual rather than literal translations, as well as the need to use natural and acceptable language for the broadest audience. The following general guidelines should be considered in this process:</w:t>
      </w:r>
    </w:p>
    <w:p w:rsidR="00FF08E4" w:rsidRPr="00FF08E4" w:rsidRDefault="00FF08E4" w:rsidP="00FF08E4">
      <w:pPr>
        <w:numPr>
          <w:ilvl w:val="0"/>
          <w:numId w:val="2"/>
        </w:numPr>
        <w:spacing w:after="120"/>
        <w:rPr>
          <w:rFonts w:eastAsia="Times New Roman" w:cs="Times New Roman"/>
          <w:lang w:eastAsia="en-GB" w:bidi="bn-BD"/>
        </w:rPr>
      </w:pPr>
      <w:r w:rsidRPr="00FF08E4">
        <w:rPr>
          <w:rFonts w:eastAsia="Times New Roman" w:cs="Times New Roman"/>
          <w:lang w:eastAsia="en-GB" w:bidi="bn-BD"/>
        </w:rPr>
        <w:t>Translators should always aim at the conceptual equivalent of a word or phrase, not a word-for-word translation, i.e. not a literal translation. They should consider the definition of the original term and attempt to translate it in the most relevant way.</w:t>
      </w:r>
    </w:p>
    <w:p w:rsidR="00FF08E4" w:rsidRPr="00FF08E4" w:rsidRDefault="00FF08E4" w:rsidP="00FF08E4">
      <w:pPr>
        <w:numPr>
          <w:ilvl w:val="0"/>
          <w:numId w:val="2"/>
        </w:numPr>
        <w:spacing w:after="120"/>
        <w:rPr>
          <w:rFonts w:eastAsia="Times New Roman" w:cs="Times New Roman"/>
          <w:lang w:eastAsia="en-GB" w:bidi="bn-BD"/>
        </w:rPr>
      </w:pPr>
      <w:r w:rsidRPr="00FF08E4">
        <w:rPr>
          <w:rFonts w:eastAsia="Times New Roman" w:cs="Times New Roman"/>
          <w:lang w:eastAsia="en-GB" w:bidi="bn-BD"/>
        </w:rPr>
        <w:t>Translators should strive to be simple, clear and concise in formulating a question. Fewer words are better. Long sentences with many clauses should be avoided.</w:t>
      </w:r>
    </w:p>
    <w:p w:rsidR="00FF08E4" w:rsidRPr="00FF08E4" w:rsidRDefault="00FF08E4" w:rsidP="00FF08E4">
      <w:pPr>
        <w:numPr>
          <w:ilvl w:val="0"/>
          <w:numId w:val="2"/>
        </w:numPr>
        <w:spacing w:after="120"/>
        <w:rPr>
          <w:rFonts w:eastAsia="Times New Roman" w:cs="Times New Roman"/>
          <w:lang w:eastAsia="en-GB" w:bidi="bn-BD"/>
        </w:rPr>
      </w:pPr>
      <w:r w:rsidRPr="00FF08E4">
        <w:rPr>
          <w:rFonts w:eastAsia="Times New Roman" w:cs="Times New Roman"/>
          <w:lang w:eastAsia="en-GB" w:bidi="bn-BD"/>
        </w:rPr>
        <w:t>The target language should aim for the most common audience. Translators should avoid addressing professional audiences such as those in medicine or any other professional group. They should consider the typical respondent for the instrument being translated and what the respondent will understand when s/he hears the question.</w:t>
      </w:r>
    </w:p>
    <w:p w:rsidR="00FF08E4" w:rsidRPr="00FF08E4" w:rsidRDefault="00FF08E4" w:rsidP="00FF08E4">
      <w:pPr>
        <w:numPr>
          <w:ilvl w:val="0"/>
          <w:numId w:val="2"/>
        </w:numPr>
        <w:spacing w:after="120"/>
        <w:ind w:hanging="357"/>
        <w:contextualSpacing/>
        <w:rPr>
          <w:rFonts w:eastAsia="Times New Roman" w:cs="Times New Roman"/>
          <w:lang w:eastAsia="en-GB" w:bidi="bn-BD"/>
        </w:rPr>
      </w:pPr>
      <w:r w:rsidRPr="00FF08E4">
        <w:rPr>
          <w:rFonts w:eastAsia="Times New Roman" w:cs="Times New Roman"/>
          <w:lang w:eastAsia="en-GB" w:bidi="bn-BD"/>
        </w:rPr>
        <w:t>Translators should avoid the use of any jargon. For example, they should not use:</w:t>
      </w:r>
    </w:p>
    <w:p w:rsidR="00FF08E4" w:rsidRPr="00FF08E4" w:rsidRDefault="00FF08E4" w:rsidP="00FF08E4">
      <w:pPr>
        <w:numPr>
          <w:ilvl w:val="1"/>
          <w:numId w:val="2"/>
        </w:numPr>
        <w:spacing w:after="120"/>
        <w:ind w:hanging="357"/>
        <w:contextualSpacing/>
        <w:rPr>
          <w:rFonts w:eastAsia="Times New Roman" w:cs="Times New Roman"/>
          <w:lang w:eastAsia="en-GB" w:bidi="bn-BD"/>
        </w:rPr>
      </w:pPr>
      <w:r w:rsidRPr="00FF08E4">
        <w:rPr>
          <w:rFonts w:eastAsia="Times New Roman" w:cs="Times New Roman"/>
          <w:lang w:eastAsia="en-GB" w:bidi="bn-BD"/>
        </w:rPr>
        <w:t>technical terms that cannot be understood clearly; and</w:t>
      </w:r>
    </w:p>
    <w:p w:rsidR="00FF08E4" w:rsidRPr="00FF08E4" w:rsidRDefault="00FF08E4" w:rsidP="00FF08E4">
      <w:pPr>
        <w:numPr>
          <w:ilvl w:val="1"/>
          <w:numId w:val="2"/>
        </w:numPr>
        <w:spacing w:after="120"/>
        <w:rPr>
          <w:rFonts w:eastAsia="Times New Roman" w:cs="Times New Roman"/>
          <w:lang w:eastAsia="en-GB" w:bidi="bn-BD"/>
        </w:rPr>
      </w:pPr>
      <w:proofErr w:type="gramStart"/>
      <w:r w:rsidRPr="00FF08E4">
        <w:rPr>
          <w:rFonts w:eastAsia="Times New Roman" w:cs="Times New Roman"/>
          <w:lang w:eastAsia="en-GB" w:bidi="bn-BD"/>
        </w:rPr>
        <w:t>colloquialism</w:t>
      </w:r>
      <w:proofErr w:type="gramEnd"/>
      <w:r w:rsidRPr="00FF08E4">
        <w:rPr>
          <w:rFonts w:eastAsia="Times New Roman" w:cs="Times New Roman"/>
          <w:lang w:eastAsia="en-GB" w:bidi="bn-BD"/>
        </w:rPr>
        <w:t>, idioms or vernacular terms that cannot be understood by common people in everyday life.</w:t>
      </w:r>
    </w:p>
    <w:p w:rsidR="00FF08E4" w:rsidRPr="00FF08E4" w:rsidRDefault="00FF08E4" w:rsidP="00FF08E4">
      <w:pPr>
        <w:numPr>
          <w:ilvl w:val="0"/>
          <w:numId w:val="2"/>
        </w:numPr>
        <w:spacing w:after="120"/>
        <w:rPr>
          <w:rFonts w:eastAsia="Times New Roman" w:cs="Times New Roman"/>
          <w:lang w:eastAsia="en-GB" w:bidi="bn-BD"/>
        </w:rPr>
      </w:pPr>
      <w:r w:rsidRPr="00FF08E4">
        <w:rPr>
          <w:rFonts w:eastAsia="Times New Roman" w:cs="Times New Roman"/>
          <w:lang w:eastAsia="en-GB" w:bidi="bn-BD"/>
        </w:rPr>
        <w:t>Translators should consider issues of gender and age applicability and avoid any terms that might be considered offensive to the target population.</w:t>
      </w: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t>2. Expert panel</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 xml:space="preserve">A bilingual (in English and the target language for translation) expert panel should be convened by a designated editor-in-chief. The goal in this step is to identify and resolve the inadequate expressions/concepts of the translation, as well as any discrepancies between the forward translation and the existing or comparable previous versions of the questions if any. The expert panel may question some words or expressions and suggest alternatives. Experts should be given any materials that can help them to be consistent with previous translations. Principal investigators and/or project collaborators will be responsible for providing such materials. The number of experts in the panel may vary. In general, the panel should include the original translator, experts in health, as well as experts with experience in instrument development and translation. </w:t>
      </w:r>
    </w:p>
    <w:p w:rsid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 xml:space="preserve">The result of this process will produce a complete translated version of the questionnaire. </w:t>
      </w:r>
    </w:p>
    <w:p w:rsidR="00FF08E4" w:rsidRPr="00FF08E4" w:rsidRDefault="00FF08E4" w:rsidP="00FF08E4">
      <w:pPr>
        <w:spacing w:after="120"/>
        <w:rPr>
          <w:rFonts w:eastAsia="Times New Roman" w:cs="Times New Roman"/>
          <w:lang w:eastAsia="en-GB" w:bidi="bn-BD"/>
        </w:rPr>
      </w:pP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lastRenderedPageBreak/>
        <w:t>3. Back-translation</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Using the same approach as that outlined in the first step, the instrument will then be translated back to English by an independent translator, whose mother tongue is English and who has no knowledge of the questionnaire. Back-translation will be limited to selected items that will be identified in two ways. The first will be items selected by the WHO based on those terms / concepts that are key to the instrument or those that are suspected to be particularly sensitive to translation problems across cultures. These items will be distributed when the English version of the instrument is distributed. The second will consist of other items that are added on as participating countries identify words or phrases that are problematic. These additional items must be submitted to WHO for review and approval.</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As in the initial translation, emphasis in the back-translation should be on conceptual and cultural equivalence and not linguistic equivalence. Discrepancies should be discussed with the editor-in-chief and further work (forward translations, discussion by the bilingual expert panel, etc.) should be iterated as many times as needed until a satisfactory version is reached.</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Particularly problematic words or phrases that do not completely capture the concept addressed by the original item should be brought to the attention of WHO.</w:t>
      </w: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t>4. Pre-testing and cognitive interviewing</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 xml:space="preserve">It is necessary to pre-test the instrument on the target population. Each module or section will be fully tested using the methodologies outlined below. </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Pre-test respondents should include individuals representative of those who will be administered the questionnaire. For this study, dependent opioid users should be used to test the translated instruments, although such users could be drawn from sources other than those used to recruit study participants – preferably persons who would not otherwise be eligible for the main study.</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Pre-test respondents should number 10 minimum for each section. They should represent males and females from all age groups (18 years of age and older) and different socioeconomic groups.</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Pre-test respondents should be administered the instrument and be systematically debriefed. This debriefing should ask respondents what they thought the question was asking, whether they could repeat the question in their own words, what came to their mind when they heard a particular phrase or term. It should also ask them to explain how they choose their answer. These questions should be repeated for each item.</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The answers to these questions should be compared to the respondent’s actual responses to the instrument for consistency.</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Respondents should also be asked about any word they did not understand as well as any word or expression that they found unacceptable or offensive.</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Finally, when alternative words or expressions exist for one item or expression, the pre-test respondent should be asked to choose which of the alternatives conforms better to their usual language.</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This information is best accomplished by in-depth personal interviews although the organization of a focus group may be an alternative.</w:t>
      </w:r>
    </w:p>
    <w:p w:rsidR="00FF08E4" w:rsidRPr="00FF08E4" w:rsidRDefault="00FF08E4" w:rsidP="00FF08E4">
      <w:pPr>
        <w:numPr>
          <w:ilvl w:val="0"/>
          <w:numId w:val="3"/>
        </w:numPr>
        <w:spacing w:after="120"/>
        <w:rPr>
          <w:rFonts w:eastAsia="Times New Roman" w:cs="Times New Roman"/>
          <w:lang w:eastAsia="en-GB" w:bidi="bn-BD"/>
        </w:rPr>
      </w:pPr>
      <w:r w:rsidRPr="00FF08E4">
        <w:rPr>
          <w:rFonts w:eastAsia="Times New Roman" w:cs="Times New Roman"/>
          <w:lang w:eastAsia="en-GB" w:bidi="bn-BD"/>
        </w:rPr>
        <w:t>It is very important that these interviews be conducted by an experienced interviewer.</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A written report of the pre-testing exercise, together with selected information regarding the participating individuals should also be provided.</w:t>
      </w: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t>5. Final version</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 xml:space="preserve">The final version of the instrument in the target language should be the result of all the iterations described above. It is important that a serial number (e.g. 1.0) be given to each version. Instructions for providing the electronic version of the final translated instrument to WHO will be provided. </w:t>
      </w:r>
    </w:p>
    <w:p w:rsidR="00FF08E4" w:rsidRDefault="00FF08E4">
      <w:pPr>
        <w:rPr>
          <w:rFonts w:eastAsia="Times New Roman" w:cs="Times New Roman"/>
          <w:b/>
          <w:bCs/>
          <w:lang w:eastAsia="en-GB" w:bidi="bn-BD"/>
        </w:rPr>
      </w:pPr>
      <w:r>
        <w:rPr>
          <w:rFonts w:eastAsia="Times New Roman" w:cs="Times New Roman"/>
          <w:b/>
          <w:bCs/>
          <w:lang w:eastAsia="en-GB" w:bidi="bn-BD"/>
        </w:rPr>
        <w:br w:type="page"/>
      </w:r>
    </w:p>
    <w:p w:rsidR="00FF08E4" w:rsidRPr="00FF08E4" w:rsidRDefault="00FF08E4" w:rsidP="00FF08E4">
      <w:pPr>
        <w:spacing w:after="120"/>
        <w:outlineLvl w:val="2"/>
        <w:rPr>
          <w:rFonts w:eastAsia="Times New Roman" w:cs="Times New Roman"/>
          <w:b/>
          <w:bCs/>
          <w:lang w:eastAsia="en-GB" w:bidi="bn-BD"/>
        </w:rPr>
      </w:pPr>
      <w:r w:rsidRPr="00FF08E4">
        <w:rPr>
          <w:rFonts w:eastAsia="Times New Roman" w:cs="Times New Roman"/>
          <w:b/>
          <w:bCs/>
          <w:lang w:eastAsia="en-GB" w:bidi="bn-BD"/>
        </w:rPr>
        <w:lastRenderedPageBreak/>
        <w:t>6. Documentation</w:t>
      </w:r>
    </w:p>
    <w:p w:rsidR="00FF08E4"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All the cultural adaptation procedures should be traceable through the appropriate documents. These include, at the least:</w:t>
      </w:r>
    </w:p>
    <w:p w:rsidR="00FF08E4" w:rsidRPr="00FF08E4" w:rsidRDefault="00FF08E4" w:rsidP="00FF08E4">
      <w:pPr>
        <w:numPr>
          <w:ilvl w:val="0"/>
          <w:numId w:val="4"/>
        </w:numPr>
        <w:spacing w:after="120"/>
        <w:ind w:left="714" w:hanging="357"/>
        <w:contextualSpacing/>
        <w:rPr>
          <w:rFonts w:eastAsia="Times New Roman" w:cs="Times New Roman"/>
          <w:lang w:eastAsia="en-GB" w:bidi="bn-BD"/>
        </w:rPr>
      </w:pPr>
      <w:bookmarkStart w:id="0" w:name="_GoBack"/>
      <w:r w:rsidRPr="00FF08E4">
        <w:rPr>
          <w:rFonts w:eastAsia="Times New Roman" w:cs="Times New Roman"/>
          <w:lang w:eastAsia="en-GB" w:bidi="bn-BD"/>
        </w:rPr>
        <w:t>initial forward version;</w:t>
      </w:r>
    </w:p>
    <w:p w:rsidR="00FF08E4" w:rsidRPr="00FF08E4" w:rsidRDefault="00FF08E4" w:rsidP="00FF08E4">
      <w:pPr>
        <w:numPr>
          <w:ilvl w:val="0"/>
          <w:numId w:val="4"/>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a summary of recommendations by the expert panel;</w:t>
      </w:r>
    </w:p>
    <w:p w:rsidR="00FF08E4" w:rsidRPr="00FF08E4" w:rsidRDefault="00FF08E4" w:rsidP="00FF08E4">
      <w:pPr>
        <w:numPr>
          <w:ilvl w:val="0"/>
          <w:numId w:val="4"/>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the back-translation;</w:t>
      </w:r>
    </w:p>
    <w:p w:rsidR="00FF08E4" w:rsidRPr="00FF08E4" w:rsidRDefault="00FF08E4" w:rsidP="00FF08E4">
      <w:pPr>
        <w:numPr>
          <w:ilvl w:val="0"/>
          <w:numId w:val="4"/>
        </w:numPr>
        <w:spacing w:after="120"/>
        <w:ind w:left="714" w:hanging="357"/>
        <w:contextualSpacing/>
        <w:rPr>
          <w:rFonts w:eastAsia="Times New Roman" w:cs="Times New Roman"/>
          <w:lang w:eastAsia="en-GB" w:bidi="bn-BD"/>
        </w:rPr>
      </w:pPr>
      <w:r w:rsidRPr="00FF08E4">
        <w:rPr>
          <w:rFonts w:eastAsia="Times New Roman" w:cs="Times New Roman"/>
          <w:lang w:eastAsia="en-GB" w:bidi="bn-BD"/>
        </w:rPr>
        <w:t xml:space="preserve">a summary of </w:t>
      </w:r>
      <w:bookmarkEnd w:id="0"/>
      <w:r w:rsidRPr="00FF08E4">
        <w:rPr>
          <w:rFonts w:eastAsia="Times New Roman" w:cs="Times New Roman"/>
          <w:lang w:eastAsia="en-GB" w:bidi="bn-BD"/>
        </w:rPr>
        <w:t>problems found during the pre-testing of the instrument and the modifications proposed; and</w:t>
      </w:r>
    </w:p>
    <w:p w:rsidR="00FF08E4" w:rsidRPr="00FF08E4" w:rsidRDefault="00FF08E4" w:rsidP="00FF08E4">
      <w:pPr>
        <w:numPr>
          <w:ilvl w:val="0"/>
          <w:numId w:val="4"/>
        </w:numPr>
        <w:spacing w:after="120"/>
        <w:rPr>
          <w:rFonts w:eastAsia="Times New Roman" w:cs="Times New Roman"/>
          <w:lang w:eastAsia="en-GB" w:bidi="bn-BD"/>
        </w:rPr>
      </w:pPr>
      <w:proofErr w:type="gramStart"/>
      <w:r w:rsidRPr="00FF08E4">
        <w:rPr>
          <w:rFonts w:eastAsia="Times New Roman" w:cs="Times New Roman"/>
          <w:lang w:eastAsia="en-GB" w:bidi="bn-BD"/>
        </w:rPr>
        <w:t>the</w:t>
      </w:r>
      <w:proofErr w:type="gramEnd"/>
      <w:r w:rsidRPr="00FF08E4">
        <w:rPr>
          <w:rFonts w:eastAsia="Times New Roman" w:cs="Times New Roman"/>
          <w:lang w:eastAsia="en-GB" w:bidi="bn-BD"/>
        </w:rPr>
        <w:t xml:space="preserve"> final version.</w:t>
      </w:r>
    </w:p>
    <w:p w:rsidR="00633565" w:rsidRPr="00FF08E4" w:rsidRDefault="00FF08E4" w:rsidP="00FF08E4">
      <w:pPr>
        <w:spacing w:after="120"/>
        <w:rPr>
          <w:rFonts w:eastAsia="Times New Roman" w:cs="Times New Roman"/>
          <w:lang w:eastAsia="en-GB" w:bidi="bn-BD"/>
        </w:rPr>
      </w:pPr>
      <w:r w:rsidRPr="00FF08E4">
        <w:rPr>
          <w:rFonts w:eastAsia="Times New Roman" w:cs="Times New Roman"/>
          <w:lang w:eastAsia="en-GB" w:bidi="bn-BD"/>
        </w:rPr>
        <w:t>It is also necessary to describe the samples used in this process (i.e. the composition of the expert panel and the pre-test respondent samples). For the latter, the number of individuals as well as their basic characteristics should be described, as appropriate.</w:t>
      </w:r>
    </w:p>
    <w:sectPr w:rsidR="00633565" w:rsidRPr="00FF08E4" w:rsidSect="00FF08E4">
      <w:pgSz w:w="11907" w:h="16839" w:code="9"/>
      <w:pgMar w:top="73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128CC"/>
    <w:multiLevelType w:val="multilevel"/>
    <w:tmpl w:val="8BAE2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34AD"/>
    <w:multiLevelType w:val="multilevel"/>
    <w:tmpl w:val="36D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86E3B"/>
    <w:multiLevelType w:val="multilevel"/>
    <w:tmpl w:val="1CD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B739C"/>
    <w:multiLevelType w:val="multilevel"/>
    <w:tmpl w:val="CE0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E4"/>
    <w:rsid w:val="00633565"/>
    <w:rsid w:val="006E3E66"/>
    <w:rsid w:val="00A726C4"/>
    <w:rsid w:val="00B7744C"/>
    <w:rsid w:val="00FF08E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7EEC8-26A6-44E9-BAF8-CA9F7D3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C4"/>
  </w:style>
  <w:style w:type="paragraph" w:styleId="Heading1">
    <w:name w:val="heading 1"/>
    <w:basedOn w:val="Normal"/>
    <w:link w:val="Heading1Char"/>
    <w:uiPriority w:val="9"/>
    <w:qFormat/>
    <w:rsid w:val="00FF0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bn-BD"/>
    </w:rPr>
  </w:style>
  <w:style w:type="paragraph" w:styleId="Heading3">
    <w:name w:val="heading 3"/>
    <w:basedOn w:val="Normal"/>
    <w:link w:val="Heading3Char"/>
    <w:uiPriority w:val="9"/>
    <w:qFormat/>
    <w:rsid w:val="00FF08E4"/>
    <w:pPr>
      <w:spacing w:before="100" w:beforeAutospacing="1" w:after="100" w:afterAutospacing="1" w:line="240" w:lineRule="auto"/>
      <w:outlineLvl w:val="2"/>
    </w:pPr>
    <w:rPr>
      <w:rFonts w:ascii="Times New Roman" w:eastAsia="Times New Roman" w:hAnsi="Times New Roman" w:cs="Times New Roman"/>
      <w:b/>
      <w:bCs/>
      <w:sz w:val="27"/>
      <w:szCs w:val="27"/>
      <w:lang w:eastAsia="en-GB"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8E4"/>
    <w:rPr>
      <w:rFonts w:ascii="Times New Roman" w:eastAsia="Times New Roman" w:hAnsi="Times New Roman" w:cs="Times New Roman"/>
      <w:b/>
      <w:bCs/>
      <w:kern w:val="36"/>
      <w:sz w:val="48"/>
      <w:szCs w:val="48"/>
      <w:lang w:eastAsia="en-GB" w:bidi="bn-BD"/>
    </w:rPr>
  </w:style>
  <w:style w:type="character" w:customStyle="1" w:styleId="Heading3Char">
    <w:name w:val="Heading 3 Char"/>
    <w:basedOn w:val="DefaultParagraphFont"/>
    <w:link w:val="Heading3"/>
    <w:uiPriority w:val="9"/>
    <w:rsid w:val="00FF08E4"/>
    <w:rPr>
      <w:rFonts w:ascii="Times New Roman" w:eastAsia="Times New Roman" w:hAnsi="Times New Roman" w:cs="Times New Roman"/>
      <w:b/>
      <w:bCs/>
      <w:sz w:val="27"/>
      <w:szCs w:val="27"/>
      <w:lang w:eastAsia="en-GB" w:bidi="bn-BD"/>
    </w:rPr>
  </w:style>
  <w:style w:type="paragraph" w:styleId="NormalWeb">
    <w:name w:val="Normal (Web)"/>
    <w:basedOn w:val="Normal"/>
    <w:uiPriority w:val="99"/>
    <w:semiHidden/>
    <w:unhideWhenUsed/>
    <w:rsid w:val="00FF08E4"/>
    <w:pPr>
      <w:spacing w:before="100" w:beforeAutospacing="1" w:after="100" w:afterAutospacing="1" w:line="240" w:lineRule="auto"/>
    </w:pPr>
    <w:rPr>
      <w:rFonts w:ascii="Times New Roman" w:eastAsia="Times New Roman" w:hAnsi="Times New Roman" w:cs="Times New Roman"/>
      <w:sz w:val="24"/>
      <w:szCs w:val="24"/>
      <w:lang w:eastAsia="en-GB" w:bidi="bn-BD"/>
    </w:rPr>
  </w:style>
  <w:style w:type="character" w:styleId="Hyperlink">
    <w:name w:val="Hyperlink"/>
    <w:basedOn w:val="DefaultParagraphFont"/>
    <w:uiPriority w:val="99"/>
    <w:unhideWhenUsed/>
    <w:rsid w:val="00FF0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substance_abuse/research_tools/translation/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K</dc:creator>
  <cp:keywords/>
  <dc:description/>
  <cp:lastModifiedBy>Jacky K</cp:lastModifiedBy>
  <cp:revision>1</cp:revision>
  <cp:lastPrinted>2017-05-18T11:20:00Z</cp:lastPrinted>
  <dcterms:created xsi:type="dcterms:W3CDTF">2017-05-18T11:18:00Z</dcterms:created>
  <dcterms:modified xsi:type="dcterms:W3CDTF">2017-05-18T11:21:00Z</dcterms:modified>
</cp:coreProperties>
</file>